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5" w:rsidRPr="003901D5" w:rsidRDefault="003901D5" w:rsidP="003901D5">
      <w:pPr>
        <w:shd w:val="clear" w:color="auto" w:fill="FFFFFF"/>
        <w:spacing w:before="375" w:after="150" w:line="300" w:lineRule="atLeast"/>
        <w:outlineLvl w:val="5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P-waves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P-waves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represent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atrial depolarisation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In sinus rhythm, there should be a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 P-wave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preceding each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QRS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complex</w:t>
      </w:r>
    </w:p>
    <w:p w:rsidR="003901D5" w:rsidRPr="003901D5" w:rsidRDefault="003901D5" w:rsidP="003901D5">
      <w:pPr>
        <w:shd w:val="clear" w:color="auto" w:fill="FFFFFF"/>
        <w:spacing w:before="375" w:after="150" w:line="300" w:lineRule="atLeast"/>
        <w:outlineLvl w:val="5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PR interval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PR-interval 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is from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the start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of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P-wave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to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the start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of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Q wave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It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represents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time taken 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for electrical activity to move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 between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the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atria and ventricles</w:t>
      </w:r>
    </w:p>
    <w:p w:rsidR="003901D5" w:rsidRPr="003901D5" w:rsidRDefault="003901D5" w:rsidP="003901D5">
      <w:pPr>
        <w:pStyle w:val="NoSpacing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lang w:eastAsia="en-CA"/>
        </w:rPr>
        <w:t> </w:t>
      </w:r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QRS complex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QRS-complex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represents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depolarisation of the ventricles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 xml:space="preserve">It is seen as 3 closely related waves on the </w:t>
      </w:r>
      <w:proofErr w:type="gramStart"/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ECG  </w:t>
      </w:r>
      <w:r w:rsidRPr="003901D5">
        <w:rPr>
          <w:rFonts w:ascii="Arial" w:eastAsia="Times New Roman" w:hAnsi="Arial" w:cs="Arial"/>
          <w:i/>
          <w:iCs/>
          <w:color w:val="0C0C0C"/>
          <w:sz w:val="21"/>
          <w:szCs w:val="21"/>
          <w:lang w:eastAsia="en-CA"/>
        </w:rPr>
        <w:t>(</w:t>
      </w:r>
      <w:proofErr w:type="gramEnd"/>
      <w:r w:rsidRPr="003901D5">
        <w:rPr>
          <w:rFonts w:ascii="Arial" w:eastAsia="Times New Roman" w:hAnsi="Arial" w:cs="Arial"/>
          <w:i/>
          <w:iCs/>
          <w:color w:val="0C0C0C"/>
          <w:sz w:val="21"/>
          <w:szCs w:val="21"/>
          <w:lang w:eastAsia="en-CA"/>
        </w:rPr>
        <w:t>Q,R &amp; S wave)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;</w:t>
      </w:r>
    </w:p>
    <w:p w:rsidR="003901D5" w:rsidRPr="003901D5" w:rsidRDefault="003901D5" w:rsidP="003901D5">
      <w:pPr>
        <w:shd w:val="clear" w:color="auto" w:fill="FFFFFF"/>
        <w:spacing w:before="375" w:after="150" w:line="300" w:lineRule="atLeast"/>
        <w:outlineLvl w:val="5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ST segment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ST-segment starts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at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end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of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S-wave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&amp;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finishes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at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start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of the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 T-wave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It represents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ventricular repolarisation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</w:t>
      </w:r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T-wave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T-wave 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represents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ventricular re-polarisation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It is seen as a small wave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after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QRS complex</w:t>
      </w:r>
    </w:p>
    <w:p w:rsidR="003901D5" w:rsidRPr="003901D5" w:rsidRDefault="003901D5" w:rsidP="003901D5">
      <w:pPr>
        <w:shd w:val="clear" w:color="auto" w:fill="FFFFFF"/>
        <w:spacing w:before="375" w:after="150" w:line="300" w:lineRule="atLeast"/>
        <w:outlineLvl w:val="5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RR-interval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RR-interval starts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at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peak of one R wave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to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peak of the next R wave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It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 represents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time between two QRS complexes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</w:t>
      </w:r>
      <w:bookmarkStart w:id="0" w:name="_GoBack"/>
      <w:bookmarkEnd w:id="0"/>
      <w:r w:rsidRPr="003901D5">
        <w:rPr>
          <w:rFonts w:ascii="Arial" w:eastAsia="Times New Roman" w:hAnsi="Arial" w:cs="Arial"/>
          <w:b/>
          <w:bCs/>
          <w:color w:val="000080"/>
          <w:sz w:val="31"/>
          <w:szCs w:val="31"/>
          <w:u w:val="single"/>
          <w:lang w:eastAsia="en-CA"/>
        </w:rPr>
        <w:t>QT-interval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QT-interval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starts at the beginning of the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 QRS complex</w:t>
      </w:r>
      <w:r w:rsidRPr="003901D5">
        <w:rPr>
          <w:rFonts w:ascii="Arial" w:eastAsia="Times New Roman" w:hAnsi="Arial" w:cs="Arial"/>
          <w:color w:val="0C0C0C"/>
          <w:sz w:val="21"/>
          <w:szCs w:val="21"/>
          <w:lang w:eastAsia="en-CA"/>
        </w:rPr>
        <w:t> and finishes at the end of the </w:t>
      </w: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T-wave</w:t>
      </w:r>
    </w:p>
    <w:p w:rsidR="003901D5" w:rsidRPr="003901D5" w:rsidRDefault="003901D5" w:rsidP="003901D5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0C0C0C"/>
          <w:sz w:val="21"/>
          <w:szCs w:val="21"/>
          <w:lang w:eastAsia="en-CA"/>
        </w:rPr>
      </w:pPr>
      <w:r w:rsidRPr="003901D5">
        <w:rPr>
          <w:rFonts w:ascii="Arial" w:eastAsia="Times New Roman" w:hAnsi="Arial" w:cs="Arial"/>
          <w:b/>
          <w:bCs/>
          <w:color w:val="0C0C0C"/>
          <w:sz w:val="21"/>
          <w:szCs w:val="21"/>
          <w:lang w:eastAsia="en-CA"/>
        </w:rPr>
        <w:t>It represents the time taken for the ventricles to depolarise &amp; then repolarise</w:t>
      </w:r>
    </w:p>
    <w:p w:rsidR="00A67F0C" w:rsidRDefault="00A67F0C"/>
    <w:sectPr w:rsidR="00A67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5"/>
    <w:rsid w:val="003901D5"/>
    <w:rsid w:val="00A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901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901D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901D5"/>
  </w:style>
  <w:style w:type="character" w:styleId="Strong">
    <w:name w:val="Strong"/>
    <w:basedOn w:val="DefaultParagraphFont"/>
    <w:uiPriority w:val="22"/>
    <w:qFormat/>
    <w:rsid w:val="003901D5"/>
    <w:rPr>
      <w:b/>
      <w:bCs/>
    </w:rPr>
  </w:style>
  <w:style w:type="paragraph" w:styleId="NoSpacing">
    <w:name w:val="No Spacing"/>
    <w:uiPriority w:val="1"/>
    <w:qFormat/>
    <w:rsid w:val="00390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901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901D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3901D5"/>
  </w:style>
  <w:style w:type="character" w:styleId="Strong">
    <w:name w:val="Strong"/>
    <w:basedOn w:val="DefaultParagraphFont"/>
    <w:uiPriority w:val="22"/>
    <w:qFormat/>
    <w:rsid w:val="003901D5"/>
    <w:rPr>
      <w:b/>
      <w:bCs/>
    </w:rPr>
  </w:style>
  <w:style w:type="paragraph" w:styleId="NoSpacing">
    <w:name w:val="No Spacing"/>
    <w:uiPriority w:val="1"/>
    <w:qFormat/>
    <w:rsid w:val="00390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2015-04-27T00:32:00Z</dcterms:created>
  <dcterms:modified xsi:type="dcterms:W3CDTF">2015-04-27T00:34:00Z</dcterms:modified>
</cp:coreProperties>
</file>